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BFC42">
      <w:pPr>
        <w:spacing w:line="560" w:lineRule="exact"/>
        <w:jc w:val="center"/>
        <w:rPr>
          <w:rFonts w:ascii="微软雅黑" w:hAnsi="仿宋_GB2312" w:eastAsia="微软雅黑"/>
          <w:sz w:val="40"/>
        </w:rPr>
      </w:pPr>
      <w:bookmarkStart w:id="1" w:name="_GoBack"/>
      <w:bookmarkEnd w:id="1"/>
      <w:r>
        <w:rPr>
          <w:rFonts w:hint="eastAsia" w:ascii="微软雅黑" w:hAnsi="仿宋_GB2312" w:eastAsia="微软雅黑"/>
          <w:sz w:val="40"/>
        </w:rPr>
        <w:t>河南农业大学</w:t>
      </w:r>
      <w:r>
        <w:rPr>
          <w:rFonts w:hint="eastAsia" w:ascii="微软雅黑" w:hAnsi="仿宋_GB2312" w:eastAsia="微软雅黑"/>
          <w:sz w:val="40"/>
          <w:lang w:eastAsia="zh-CN"/>
        </w:rPr>
        <w:t>2026</w:t>
      </w:r>
      <w:r>
        <w:rPr>
          <w:rFonts w:ascii="微软雅黑" w:hAnsi="仿宋_GB2312" w:eastAsia="微软雅黑"/>
          <w:sz w:val="40"/>
        </w:rPr>
        <w:t>年</w:t>
      </w:r>
      <w:r>
        <w:rPr>
          <w:rFonts w:hint="eastAsia" w:ascii="微软雅黑" w:hAnsi="仿宋_GB2312" w:eastAsia="微软雅黑"/>
          <w:sz w:val="40"/>
        </w:rPr>
        <w:t>硕士研究生招生自命题科目考试大纲</w:t>
      </w:r>
    </w:p>
    <w:p w14:paraId="21AEBC25">
      <w:pPr>
        <w:tabs>
          <w:tab w:val="left" w:pos="540"/>
        </w:tabs>
        <w:spacing w:line="560" w:lineRule="exact"/>
        <w:rPr>
          <w:rFonts w:ascii="宋体" w:hAnsi="宋体"/>
          <w:sz w:val="24"/>
        </w:rPr>
      </w:pPr>
      <w:r>
        <w:rPr>
          <w:rFonts w:hint="eastAsia" w:ascii="宋体" w:hAnsi="宋体"/>
          <w:sz w:val="24"/>
        </w:rPr>
        <w:t>考试科目代码及名称：</w:t>
      </w:r>
      <w:r>
        <w:rPr>
          <w:rFonts w:ascii="仿宋" w:hAnsi="仿宋" w:eastAsia="仿宋"/>
          <w:sz w:val="24"/>
        </w:rPr>
        <w:t>340</w:t>
      </w:r>
      <w:r>
        <w:rPr>
          <w:rFonts w:hint="eastAsia" w:ascii="仿宋" w:hAnsi="仿宋" w:eastAsia="仿宋"/>
          <w:sz w:val="24"/>
        </w:rPr>
        <w:t>《农业知识综合二》</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3A5D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03624316">
            <w:pPr>
              <w:spacing w:line="480" w:lineRule="exact"/>
              <w:jc w:val="left"/>
              <w:rPr>
                <w:rFonts w:ascii="仿宋" w:hAnsi="仿宋" w:eastAsia="仿宋"/>
                <w:b/>
                <w:sz w:val="24"/>
              </w:rPr>
            </w:pPr>
            <w:r>
              <w:rPr>
                <w:rFonts w:hint="eastAsia" w:ascii="仿宋" w:hAnsi="仿宋" w:eastAsia="仿宋"/>
                <w:b/>
                <w:sz w:val="24"/>
              </w:rPr>
              <w:t>考试要求：</w:t>
            </w:r>
            <w:r>
              <w:rPr>
                <w:rFonts w:hint="eastAsia" w:ascii="仿宋" w:hAnsi="仿宋" w:eastAsia="仿宋"/>
                <w:sz w:val="24"/>
              </w:rPr>
              <w:t>农业知识综合是考察学生对农业科学基本知识的综合理解和掌握程度，要求掌握有关动物生理学、动物遗传学、动物营养</w:t>
            </w:r>
            <w:r>
              <w:rPr>
                <w:rFonts w:hint="eastAsia" w:ascii="仿宋" w:hAnsi="仿宋" w:eastAsia="仿宋"/>
                <w:sz w:val="24"/>
                <w:lang w:eastAsia="zh-CN"/>
              </w:rPr>
              <w:t>学与饲料学</w:t>
            </w:r>
            <w:r>
              <w:rPr>
                <w:rFonts w:hint="eastAsia" w:ascii="仿宋" w:hAnsi="仿宋" w:eastAsia="仿宋"/>
                <w:sz w:val="24"/>
              </w:rPr>
              <w:t>的基本概念、基本理论和基本方法，并加以应用，能对生产实践中相关具体问题进行综合分析。</w:t>
            </w:r>
          </w:p>
          <w:p w14:paraId="0E2AC9DE">
            <w:pPr>
              <w:spacing w:line="480" w:lineRule="exact"/>
              <w:rPr>
                <w:rFonts w:ascii="仿宋" w:hAnsi="仿宋" w:eastAsia="仿宋"/>
                <w:sz w:val="24"/>
              </w:rPr>
            </w:pPr>
            <w:r>
              <w:rPr>
                <w:rFonts w:ascii="仿宋" w:hAnsi="仿宋" w:eastAsia="仿宋"/>
                <w:b/>
                <w:sz w:val="24"/>
              </w:rPr>
              <w:t>考试方式：</w:t>
            </w:r>
            <w:r>
              <w:rPr>
                <w:rFonts w:ascii="仿宋" w:hAnsi="仿宋" w:eastAsia="仿宋"/>
                <w:sz w:val="24"/>
              </w:rPr>
              <w:t>笔试。</w:t>
            </w:r>
          </w:p>
          <w:p w14:paraId="59367567">
            <w:pPr>
              <w:spacing w:line="480" w:lineRule="exact"/>
              <w:rPr>
                <w:rFonts w:ascii="仿宋" w:hAnsi="仿宋" w:eastAsia="仿宋"/>
                <w:sz w:val="24"/>
              </w:rPr>
            </w:pPr>
            <w:r>
              <w:rPr>
                <w:rFonts w:ascii="仿宋" w:hAnsi="仿宋" w:eastAsia="仿宋"/>
                <w:b/>
                <w:sz w:val="24"/>
              </w:rPr>
              <w:t>答题时间：</w:t>
            </w:r>
            <w:r>
              <w:rPr>
                <w:rFonts w:ascii="仿宋" w:hAnsi="仿宋" w:eastAsia="仿宋"/>
                <w:sz w:val="24"/>
              </w:rPr>
              <w:t>180分钟。</w:t>
            </w:r>
          </w:p>
          <w:p w14:paraId="1CA4F64E">
            <w:pPr>
              <w:spacing w:line="480" w:lineRule="exact"/>
              <w:rPr>
                <w:rFonts w:ascii="仿宋" w:hAnsi="仿宋" w:eastAsia="仿宋"/>
                <w:b/>
                <w:sz w:val="24"/>
              </w:rPr>
            </w:pPr>
            <w:r>
              <w:rPr>
                <w:rFonts w:ascii="仿宋" w:hAnsi="仿宋" w:eastAsia="仿宋"/>
                <w:b/>
                <w:sz w:val="24"/>
              </w:rPr>
              <w:t>考试题型及比例：</w:t>
            </w:r>
          </w:p>
          <w:p w14:paraId="5025655D">
            <w:pPr>
              <w:spacing w:line="480" w:lineRule="exact"/>
              <w:ind w:firstLine="240" w:firstLineChars="100"/>
              <w:rPr>
                <w:rFonts w:ascii="仿宋" w:hAnsi="仿宋" w:eastAsia="仿宋"/>
                <w:sz w:val="24"/>
              </w:rPr>
            </w:pPr>
            <w:r>
              <w:rPr>
                <w:rFonts w:ascii="仿宋" w:hAnsi="仿宋" w:eastAsia="仿宋"/>
                <w:sz w:val="24"/>
              </w:rPr>
              <w:t>试卷题型比例：</w:t>
            </w:r>
          </w:p>
          <w:p w14:paraId="74FA9BDD">
            <w:pPr>
              <w:spacing w:line="480" w:lineRule="exact"/>
              <w:ind w:firstLine="480" w:firstLineChars="200"/>
              <w:rPr>
                <w:rFonts w:ascii="仿宋" w:hAnsi="仿宋" w:eastAsia="仿宋"/>
                <w:sz w:val="24"/>
              </w:rPr>
            </w:pPr>
            <w:r>
              <w:rPr>
                <w:rFonts w:hint="eastAsia" w:ascii="仿宋" w:hAnsi="仿宋" w:eastAsia="仿宋"/>
                <w:sz w:val="24"/>
              </w:rPr>
              <w:t>名词解释：约</w:t>
            </w:r>
            <w:r>
              <w:rPr>
                <w:rFonts w:ascii="仿宋" w:hAnsi="仿宋" w:eastAsia="仿宋"/>
                <w:sz w:val="24"/>
              </w:rPr>
              <w:t>3</w:t>
            </w:r>
            <w:r>
              <w:rPr>
                <w:rFonts w:hint="eastAsia" w:ascii="仿宋" w:hAnsi="仿宋" w:eastAsia="仿宋"/>
                <w:sz w:val="24"/>
              </w:rPr>
              <w:t>0%，问答题：约</w:t>
            </w:r>
            <w:r>
              <w:rPr>
                <w:rFonts w:ascii="仿宋" w:hAnsi="仿宋" w:eastAsia="仿宋"/>
                <w:sz w:val="24"/>
              </w:rPr>
              <w:t>7</w:t>
            </w:r>
            <w:r>
              <w:rPr>
                <w:rFonts w:hint="eastAsia" w:ascii="仿宋" w:hAnsi="仿宋" w:eastAsia="仿宋"/>
                <w:sz w:val="24"/>
              </w:rPr>
              <w:t>0%</w:t>
            </w:r>
          </w:p>
          <w:p w14:paraId="7E8B9B1B">
            <w:pPr>
              <w:spacing w:line="480" w:lineRule="exact"/>
              <w:ind w:firstLine="240" w:firstLineChars="100"/>
              <w:rPr>
                <w:rFonts w:ascii="仿宋" w:hAnsi="仿宋" w:eastAsia="仿宋"/>
                <w:sz w:val="24"/>
              </w:rPr>
            </w:pPr>
            <w:r>
              <w:rPr>
                <w:rFonts w:ascii="仿宋" w:hAnsi="仿宋" w:eastAsia="仿宋"/>
                <w:sz w:val="24"/>
              </w:rPr>
              <w:t>试题难易比例：</w:t>
            </w:r>
          </w:p>
          <w:p w14:paraId="0341FD46">
            <w:pPr>
              <w:spacing w:line="480" w:lineRule="exact"/>
              <w:ind w:firstLine="480" w:firstLineChars="200"/>
              <w:rPr>
                <w:rFonts w:ascii="仿宋" w:hAnsi="仿宋" w:eastAsia="仿宋"/>
                <w:sz w:val="24"/>
              </w:rPr>
            </w:pPr>
            <w:r>
              <w:rPr>
                <w:rFonts w:ascii="仿宋" w:hAnsi="仿宋" w:eastAsia="仿宋"/>
                <w:sz w:val="24"/>
              </w:rPr>
              <w:t>容易题：约50%，中等难度题：约30%，难题：约20%。</w:t>
            </w:r>
          </w:p>
          <w:p w14:paraId="41A4C0D3">
            <w:pPr>
              <w:spacing w:line="480" w:lineRule="exact"/>
              <w:rPr>
                <w:rFonts w:ascii="仿宋" w:hAnsi="仿宋" w:eastAsia="仿宋"/>
                <w:b/>
                <w:sz w:val="24"/>
              </w:rPr>
            </w:pPr>
            <w:r>
              <w:rPr>
                <w:rFonts w:ascii="仿宋" w:hAnsi="仿宋" w:eastAsia="仿宋"/>
                <w:b/>
                <w:sz w:val="24"/>
              </w:rPr>
              <w:t>基本内容及范围：</w:t>
            </w:r>
          </w:p>
          <w:p w14:paraId="31BA3FDE">
            <w:pPr>
              <w:spacing w:line="480" w:lineRule="exact"/>
              <w:ind w:firstLine="480" w:firstLineChars="200"/>
              <w:rPr>
                <w:rFonts w:ascii="仿宋" w:hAnsi="仿宋" w:eastAsia="仿宋"/>
                <w:b/>
                <w:bCs/>
                <w:sz w:val="24"/>
              </w:rPr>
            </w:pPr>
            <w:r>
              <w:rPr>
                <w:rFonts w:hint="eastAsia" w:ascii="仿宋" w:hAnsi="仿宋" w:eastAsia="仿宋"/>
                <w:sz w:val="24"/>
              </w:rPr>
              <w:t>包括动物生理学、动物遗传学、动物营养学三部分，每部分各占</w:t>
            </w:r>
            <w:r>
              <w:rPr>
                <w:rFonts w:ascii="仿宋" w:hAnsi="仿宋" w:eastAsia="仿宋"/>
                <w:sz w:val="24"/>
              </w:rPr>
              <w:t>50</w:t>
            </w:r>
            <w:r>
              <w:rPr>
                <w:rFonts w:hint="eastAsia" w:ascii="仿宋" w:hAnsi="仿宋" w:eastAsia="仿宋"/>
                <w:sz w:val="24"/>
              </w:rPr>
              <w:t>分。为了帮助考生了解动物生理学、动物遗传学、动物营养学主要知识点和复习范围及报考的有关要求，特制定本考试大纲。本考试大纲适用于报考河南农业大学畜牧和渔业</w:t>
            </w:r>
            <w:r>
              <w:rPr>
                <w:rFonts w:hint="eastAsia" w:ascii="仿宋" w:hAnsi="仿宋" w:eastAsia="仿宋"/>
                <w:sz w:val="24"/>
                <w:lang w:eastAsia="zh-CN"/>
              </w:rPr>
              <w:t>领域</w:t>
            </w:r>
            <w:r>
              <w:rPr>
                <w:rFonts w:hint="eastAsia" w:ascii="仿宋" w:hAnsi="仿宋" w:eastAsia="仿宋"/>
                <w:sz w:val="24"/>
              </w:rPr>
              <w:t>全日制或非全日制专业硕士学位研究生的考生。考试内容如下：</w:t>
            </w:r>
          </w:p>
          <w:p w14:paraId="7FC6B289">
            <w:pPr>
              <w:spacing w:line="480" w:lineRule="exact"/>
              <w:ind w:firstLine="482" w:firstLineChars="200"/>
              <w:jc w:val="center"/>
              <w:rPr>
                <w:rFonts w:ascii="仿宋" w:hAnsi="仿宋" w:eastAsia="仿宋"/>
                <w:b/>
                <w:bCs/>
                <w:sz w:val="24"/>
                <w:highlight w:val="red"/>
              </w:rPr>
            </w:pPr>
            <w:r>
              <w:rPr>
                <w:rFonts w:hint="eastAsia" w:ascii="仿宋" w:hAnsi="仿宋" w:eastAsia="仿宋"/>
                <w:b/>
                <w:bCs/>
                <w:sz w:val="24"/>
                <w:highlight w:val="none"/>
              </w:rPr>
              <w:t>第一部分  动物生理学</w:t>
            </w:r>
          </w:p>
          <w:p w14:paraId="64C08A0B">
            <w:pPr>
              <w:spacing w:line="480" w:lineRule="exact"/>
              <w:ind w:firstLine="482" w:firstLineChars="200"/>
              <w:rPr>
                <w:rFonts w:ascii="仿宋" w:hAnsi="仿宋" w:eastAsia="仿宋"/>
                <w:b/>
                <w:bCs/>
                <w:sz w:val="24"/>
              </w:rPr>
            </w:pPr>
            <w:r>
              <w:rPr>
                <w:rFonts w:hint="eastAsia" w:ascii="仿宋" w:hAnsi="仿宋" w:eastAsia="仿宋"/>
                <w:b/>
                <w:bCs/>
                <w:sz w:val="24"/>
              </w:rPr>
              <w:t>第一章  绪论</w:t>
            </w:r>
          </w:p>
          <w:p w14:paraId="066ADEA5">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动物生理学研究对象、任务和方法；生理功能的调节方式；动物生理功能的控制系统。</w:t>
            </w:r>
          </w:p>
          <w:p w14:paraId="0ED30740">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熟悉动物生理学涉及到的相关概念；掌握动物稳态及其调节方式；熟悉动物生理功能维持稳态的控制系统的组成和调控特点。</w:t>
            </w:r>
          </w:p>
          <w:p w14:paraId="24E11E89">
            <w:pPr>
              <w:spacing w:line="480" w:lineRule="exact"/>
              <w:ind w:firstLine="482" w:firstLineChars="200"/>
              <w:rPr>
                <w:rFonts w:ascii="仿宋" w:hAnsi="仿宋" w:eastAsia="仿宋"/>
                <w:b/>
                <w:bCs/>
                <w:sz w:val="24"/>
              </w:rPr>
            </w:pPr>
            <w:r>
              <w:rPr>
                <w:rFonts w:hint="eastAsia" w:ascii="仿宋" w:hAnsi="仿宋" w:eastAsia="仿宋"/>
                <w:b/>
                <w:bCs/>
                <w:sz w:val="24"/>
              </w:rPr>
              <w:t>第二章  细胞的基本功能</w:t>
            </w:r>
          </w:p>
          <w:p w14:paraId="018296D6">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细胞膜的物质转运和信息传递；细胞的跨膜信号传导；细胞的兴奋性和生物电现象。</w:t>
            </w:r>
          </w:p>
          <w:p w14:paraId="6EF382FA">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熟悉细胞的结构及细胞膜转运物质、传递信号的方式；掌握细胞的兴奋性、生物电现象的产生机理及动作电位在同一神经纤维和不同神经细胞间传递的特点。</w:t>
            </w:r>
          </w:p>
          <w:p w14:paraId="134EDF3E">
            <w:pPr>
              <w:numPr>
                <w:ilvl w:val="0"/>
                <w:numId w:val="1"/>
              </w:numPr>
              <w:spacing w:line="480" w:lineRule="exact"/>
              <w:ind w:firstLine="482" w:firstLineChars="200"/>
              <w:rPr>
                <w:rFonts w:ascii="仿宋" w:hAnsi="仿宋" w:eastAsia="仿宋"/>
                <w:b/>
                <w:bCs/>
                <w:sz w:val="24"/>
              </w:rPr>
            </w:pPr>
            <w:r>
              <w:rPr>
                <w:rFonts w:hint="eastAsia" w:ascii="仿宋" w:hAnsi="仿宋" w:eastAsia="仿宋"/>
                <w:b/>
                <w:bCs/>
                <w:sz w:val="24"/>
              </w:rPr>
              <w:t xml:space="preserve"> 血液</w:t>
            </w:r>
          </w:p>
          <w:p w14:paraId="68C4BB9A">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血液的组成与理化特性；血细胞及其功能；血液凝固与纤维蛋白溶解；血型等。</w:t>
            </w:r>
          </w:p>
          <w:p w14:paraId="78725768">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熟悉血液的组成、理化特性及其生理机能；掌握血细胞的种类及其生理作用、血液凝固及纤维蛋白溶解等生理意义；理解抗凝及促凝、血浆及血清、血型分类及输血的原则等基础知识。</w:t>
            </w:r>
          </w:p>
          <w:p w14:paraId="28785206">
            <w:pPr>
              <w:numPr>
                <w:ilvl w:val="0"/>
                <w:numId w:val="1"/>
              </w:numPr>
              <w:spacing w:line="480" w:lineRule="exact"/>
              <w:ind w:firstLine="482" w:firstLineChars="200"/>
              <w:rPr>
                <w:rFonts w:ascii="仿宋" w:hAnsi="仿宋" w:eastAsia="仿宋"/>
                <w:b/>
                <w:bCs/>
                <w:sz w:val="24"/>
              </w:rPr>
            </w:pPr>
            <w:r>
              <w:rPr>
                <w:rFonts w:hint="eastAsia" w:ascii="仿宋" w:hAnsi="仿宋" w:eastAsia="仿宋"/>
                <w:b/>
                <w:bCs/>
                <w:sz w:val="24"/>
              </w:rPr>
              <w:t xml:space="preserve"> 血液循环</w:t>
            </w:r>
          </w:p>
          <w:p w14:paraId="5F89B24F">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心脏的泵血功能；心肌细胞的生物电现象与生理特性；血管生理；心血管活动的调节等。</w:t>
            </w:r>
          </w:p>
          <w:p w14:paraId="698F5F66">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心脏泵血功能的周期性活动、功能评价、心力储备、心电图、血压（动、静脉血压）、微循环、组织液、淋巴液等基本概念；掌握心肌的生物电现象及其机理、血管的类型、血压的形成、静脉回流、微循环、心血管调节的方式等。</w:t>
            </w:r>
          </w:p>
          <w:p w14:paraId="44DC1007">
            <w:pPr>
              <w:spacing w:line="480" w:lineRule="exact"/>
              <w:ind w:firstLine="482" w:firstLineChars="200"/>
              <w:rPr>
                <w:rFonts w:ascii="仿宋" w:hAnsi="仿宋" w:eastAsia="仿宋"/>
                <w:b/>
                <w:bCs/>
                <w:sz w:val="24"/>
              </w:rPr>
            </w:pPr>
            <w:r>
              <w:rPr>
                <w:rFonts w:hint="eastAsia" w:ascii="仿宋" w:hAnsi="仿宋" w:eastAsia="仿宋"/>
                <w:b/>
                <w:bCs/>
                <w:sz w:val="24"/>
              </w:rPr>
              <w:t>第五章  呼吸</w:t>
            </w:r>
          </w:p>
          <w:p w14:paraId="2D08745C">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呼吸器官的通气活动；气体交换；气体在血液中的运输；呼吸运动的调节等。</w:t>
            </w:r>
          </w:p>
          <w:p w14:paraId="684F5E4F">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掌握呼吸、气体交换的过程和原理；熟悉氧及二氧化碳在血液中的形式；了解呼吸调节的方式和机理。</w:t>
            </w:r>
          </w:p>
          <w:p w14:paraId="24E69BD1">
            <w:pPr>
              <w:spacing w:line="480" w:lineRule="exact"/>
              <w:ind w:firstLine="482" w:firstLineChars="200"/>
              <w:rPr>
                <w:rFonts w:ascii="仿宋" w:hAnsi="仿宋" w:eastAsia="仿宋"/>
                <w:b/>
                <w:bCs/>
                <w:sz w:val="24"/>
              </w:rPr>
            </w:pPr>
            <w:r>
              <w:rPr>
                <w:rFonts w:hint="eastAsia" w:ascii="仿宋" w:hAnsi="仿宋" w:eastAsia="仿宋"/>
                <w:b/>
                <w:bCs/>
                <w:sz w:val="24"/>
              </w:rPr>
              <w:t>第六章 消化与吸收</w:t>
            </w:r>
          </w:p>
          <w:p w14:paraId="24AF0A3F">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消化的方式和过程，单胃动物和反刍动物消化的区别；食物在胃和小肠内的消化和吸收过程；营养成分的吸收方式和过程。</w:t>
            </w:r>
          </w:p>
          <w:p w14:paraId="1B564BF8">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不同动物的消化方式、营养成分在胃肠道内的消化过程及其机理；掌握消化腺和消化液在消化过程中的作用；重点掌握反刍动物的蛋白质消化方式和尿素循环、消化和吸收、不同营养成分的吸收部位和方式等。</w:t>
            </w:r>
          </w:p>
          <w:p w14:paraId="7C6C013D">
            <w:pPr>
              <w:spacing w:line="480" w:lineRule="exact"/>
              <w:ind w:firstLine="482" w:firstLineChars="200"/>
              <w:rPr>
                <w:rFonts w:ascii="仿宋" w:hAnsi="仿宋" w:eastAsia="仿宋"/>
                <w:b/>
                <w:bCs/>
                <w:sz w:val="24"/>
              </w:rPr>
            </w:pPr>
            <w:r>
              <w:rPr>
                <w:rFonts w:hint="eastAsia" w:ascii="仿宋" w:hAnsi="仿宋" w:eastAsia="仿宋"/>
                <w:b/>
                <w:bCs/>
                <w:sz w:val="24"/>
              </w:rPr>
              <w:t xml:space="preserve">第七章  肾脏的排泄功能 </w:t>
            </w:r>
          </w:p>
          <w:p w14:paraId="74A05A5C">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尿的生成；尿生成的调节；排尿及其调节。</w:t>
            </w:r>
          </w:p>
          <w:p w14:paraId="4B11D5AB">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掌握尿的形成过程，包括肾小球的滤过、肾小管与集合管的选择性重吸收、分泌与排泄；尿生成的影响因素及调节；了解排尿反射的过程及其意义。</w:t>
            </w:r>
          </w:p>
          <w:p w14:paraId="29C4ECE7">
            <w:pPr>
              <w:spacing w:line="480" w:lineRule="exact"/>
              <w:ind w:firstLine="482" w:firstLineChars="200"/>
              <w:rPr>
                <w:rFonts w:ascii="仿宋" w:hAnsi="仿宋" w:eastAsia="仿宋"/>
                <w:b/>
                <w:bCs/>
                <w:sz w:val="24"/>
              </w:rPr>
            </w:pPr>
            <w:r>
              <w:rPr>
                <w:rFonts w:hint="eastAsia" w:ascii="仿宋" w:hAnsi="仿宋" w:eastAsia="仿宋"/>
                <w:b/>
                <w:bCs/>
                <w:sz w:val="24"/>
              </w:rPr>
              <w:t>第八章  神经生理</w:t>
            </w:r>
          </w:p>
          <w:p w14:paraId="55D01F9E">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神经元及反射活动的一般规律；神经系统的感觉功能；神经系统对躯体运动的调节；神经系统对内脏活动的调节；高级神经活动。</w:t>
            </w:r>
          </w:p>
          <w:p w14:paraId="2879B4BF">
            <w:pPr>
              <w:spacing w:line="480" w:lineRule="exact"/>
              <w:ind w:firstLine="482" w:firstLineChars="200"/>
              <w:rPr>
                <w:rFonts w:ascii="仿宋" w:hAnsi="仿宋" w:eastAsia="仿宋"/>
                <w:b/>
                <w:bCs/>
                <w:sz w:val="24"/>
              </w:rPr>
            </w:pPr>
            <w:r>
              <w:rPr>
                <w:rFonts w:hint="eastAsia" w:ascii="仿宋" w:hAnsi="仿宋" w:eastAsia="仿宋"/>
                <w:b/>
                <w:sz w:val="24"/>
              </w:rPr>
              <w:t>要求：</w:t>
            </w:r>
            <w:r>
              <w:rPr>
                <w:rFonts w:hint="eastAsia" w:ascii="仿宋" w:hAnsi="仿宋" w:eastAsia="仿宋"/>
                <w:sz w:val="24"/>
              </w:rPr>
              <w:t>熟悉神经元的结构及神经冲动传递的规律及其在不同神经之间传递的方式，掌握突触传递、非突触传递的基本形式和特点、反射活动的一般规律、中枢的兴奋和抑制；重点掌握感觉的形成过程、特异性投射和非特异性投射及脊髓、丘脑在感觉形成中的作用等；熟悉大脑皮层、脑干（中脑、脑桥、延髓）和脊髓在躯体活动中的调节作用及典型运动形式；了解条件反射等高级神经活动的形成及应用。</w:t>
            </w:r>
          </w:p>
          <w:p w14:paraId="4642FDA2">
            <w:pPr>
              <w:spacing w:line="480" w:lineRule="exact"/>
              <w:ind w:firstLine="482" w:firstLineChars="200"/>
              <w:rPr>
                <w:rFonts w:ascii="仿宋" w:hAnsi="仿宋" w:eastAsia="仿宋"/>
                <w:b/>
                <w:bCs/>
                <w:sz w:val="24"/>
              </w:rPr>
            </w:pPr>
            <w:r>
              <w:rPr>
                <w:rFonts w:hint="eastAsia" w:ascii="仿宋" w:hAnsi="仿宋" w:eastAsia="仿宋"/>
                <w:b/>
                <w:bCs/>
                <w:sz w:val="24"/>
              </w:rPr>
              <w:t xml:space="preserve">第九章  内分泌  </w:t>
            </w:r>
          </w:p>
          <w:p w14:paraId="34201DEF">
            <w:pPr>
              <w:spacing w:line="480" w:lineRule="exact"/>
              <w:ind w:firstLine="482" w:firstLineChars="200"/>
              <w:rPr>
                <w:rFonts w:ascii="仿宋" w:hAnsi="仿宋" w:eastAsia="仿宋"/>
                <w:sz w:val="24"/>
              </w:rPr>
            </w:pPr>
            <w:r>
              <w:rPr>
                <w:rFonts w:hint="eastAsia" w:ascii="仿宋" w:hAnsi="仿宋" w:eastAsia="仿宋"/>
                <w:b/>
                <w:sz w:val="24"/>
              </w:rPr>
              <w:t>内容：</w:t>
            </w:r>
            <w:r>
              <w:rPr>
                <w:rFonts w:hint="eastAsia" w:ascii="仿宋" w:hAnsi="仿宋" w:eastAsia="仿宋"/>
                <w:sz w:val="24"/>
              </w:rPr>
              <w:t>下丘脑—垂体分泌轴及相关激素的分泌调节；甲状腺；调节钙代谢的激素；胰岛；肾上腺；性腺等。</w:t>
            </w:r>
          </w:p>
          <w:p w14:paraId="2BF88A21">
            <w:pPr>
              <w:spacing w:line="480" w:lineRule="exact"/>
              <w:ind w:firstLine="482" w:firstLineChars="200"/>
              <w:rPr>
                <w:rFonts w:ascii="仿宋" w:hAnsi="仿宋" w:eastAsia="仿宋"/>
                <w:sz w:val="24"/>
              </w:rPr>
            </w:pPr>
            <w:r>
              <w:rPr>
                <w:rFonts w:hint="eastAsia" w:ascii="仿宋" w:hAnsi="仿宋" w:eastAsia="仿宋"/>
                <w:b/>
                <w:sz w:val="24"/>
              </w:rPr>
              <w:t>要求：</w:t>
            </w:r>
            <w:r>
              <w:rPr>
                <w:rFonts w:hint="eastAsia" w:ascii="仿宋" w:hAnsi="仿宋" w:eastAsia="仿宋"/>
                <w:sz w:val="24"/>
              </w:rPr>
              <w:t>熟悉下丘脑与垂体在结构和内分泌方面的联系；垂体的分泌作用；腺垂体和神经分泌激素的作用途径；重点掌握外周有靶腺的三个内分泌轴的激素分泌调节方式及其作用、不同激素的作用机理；了解甲状腺素、甲状旁腺素、降钙素、肾上腺皮质激素、性激素（雄激素、雌激素）的作用。</w:t>
            </w:r>
          </w:p>
          <w:p w14:paraId="3FDED5F9">
            <w:pPr>
              <w:spacing w:line="480" w:lineRule="exact"/>
              <w:ind w:firstLine="482" w:firstLineChars="200"/>
              <w:rPr>
                <w:rFonts w:ascii="仿宋" w:hAnsi="仿宋" w:eastAsia="仿宋"/>
                <w:b/>
                <w:bCs/>
                <w:sz w:val="24"/>
              </w:rPr>
            </w:pPr>
          </w:p>
          <w:p w14:paraId="746E0BB9">
            <w:pPr>
              <w:spacing w:line="480" w:lineRule="exact"/>
              <w:ind w:firstLine="482" w:firstLineChars="200"/>
              <w:jc w:val="center"/>
              <w:rPr>
                <w:rFonts w:ascii="仿宋" w:hAnsi="仿宋" w:eastAsia="仿宋"/>
                <w:b/>
                <w:bCs/>
                <w:sz w:val="24"/>
                <w:szCs w:val="24"/>
              </w:rPr>
            </w:pPr>
            <w:r>
              <w:rPr>
                <w:rFonts w:hint="eastAsia" w:ascii="仿宋" w:hAnsi="仿宋" w:eastAsia="仿宋"/>
                <w:b/>
                <w:bCs/>
                <w:sz w:val="24"/>
                <w:szCs w:val="24"/>
              </w:rPr>
              <w:t>第二部分  动物遗传学</w:t>
            </w:r>
          </w:p>
          <w:p w14:paraId="4D4B3A55">
            <w:pPr>
              <w:spacing w:line="480" w:lineRule="exact"/>
              <w:ind w:firstLine="482" w:firstLineChars="200"/>
              <w:rPr>
                <w:rFonts w:ascii="仿宋" w:hAnsi="仿宋" w:eastAsia="仿宋"/>
                <w:b/>
                <w:bCs/>
                <w:sz w:val="24"/>
                <w:szCs w:val="24"/>
              </w:rPr>
            </w:pPr>
            <w:r>
              <w:rPr>
                <w:rFonts w:hint="eastAsia" w:ascii="仿宋" w:hAnsi="仿宋" w:eastAsia="仿宋"/>
                <w:b/>
                <w:bCs/>
                <w:sz w:val="24"/>
                <w:szCs w:val="24"/>
              </w:rPr>
              <w:t xml:space="preserve">第一章  绪论 </w:t>
            </w:r>
          </w:p>
          <w:p w14:paraId="5813DC36">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遗传学的定义、遗传与变异的关系；遗传发展的几个阶段和科学家做出的重大贡献。</w:t>
            </w:r>
          </w:p>
          <w:p w14:paraId="2CFDFC43">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掌握遗传学发展的主要阶段和重要发现，科学家做出的重大贡献；理解遗传、变异与环境、选择的关系；了解动物遗传学在动物生产中的应用，尤其是在动物育种中的应用。</w:t>
            </w:r>
          </w:p>
          <w:p w14:paraId="7FD2422F">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第二章 遗传的细胞学基础 </w:t>
            </w:r>
          </w:p>
          <w:p w14:paraId="6B423E9A">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细胞的结构与功能，染色质与染色体，染色体的结构特征和高级结构，染色体的核型和带型分析，有丝分裂、减数分裂各个时期的特征与意义。</w:t>
            </w:r>
          </w:p>
          <w:p w14:paraId="45F7D79A">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了解动物细胞的结构和各个细胞器的主要功能，掌握染色体相关的概念及染色体的结构；掌握染色体的形态特征及其分类、核型分析和带型分析的概念；掌握有丝分裂和减数分裂过程中染色体的特征及其行为特点、有丝分裂和减数分裂的意义、区别，掌握减数分裂与遗传基本规律的关系。</w:t>
            </w:r>
          </w:p>
          <w:p w14:paraId="73688E4F">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第三章 孟德尔遗传规律及其扩展 </w:t>
            </w:r>
          </w:p>
          <w:p w14:paraId="373F10EA">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分离规律和自由组合规律的概念、意义与应用，孟德尔遗传规律的扩展，环境对性状的影响等。</w:t>
            </w:r>
          </w:p>
          <w:p w14:paraId="4E3BCFA4">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 xml:space="preserve">掌握分离规律和自由组合规律的基本概念、内容、实质及其意义。掌握多对基因(相对性状)独立遗传的条件及一般规律；一对相对性状的显隐性关系；掌握基因互作的方式。基因型、表现型、复等位基因等概念，环境对表型的影响；分离比实现的条件等。 </w:t>
            </w:r>
          </w:p>
          <w:p w14:paraId="1AC72268">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第四章 性别决定与伴性遗传</w:t>
            </w:r>
          </w:p>
          <w:p w14:paraId="01CEB466">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性别决定理论和性别决定类型。伴性遗传、从性遗传和限性遗传的定义及其区别。伴性遗传的应用。</w:t>
            </w:r>
          </w:p>
          <w:p w14:paraId="7257EA53">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掌握性别决定的几种形式；理解伴性遗传和常染色体遗传的区别和联系；掌握伴性遗传、从性遗传和限性遗传的概念、区别和联系。</w:t>
            </w:r>
          </w:p>
          <w:p w14:paraId="235D0197">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第五章 连锁与互换规律 </w:t>
            </w:r>
          </w:p>
          <w:p w14:paraId="4380B6E8">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连锁与互换的规律，交换值和重组值、基因定位及连锁遗传图。</w:t>
            </w:r>
          </w:p>
          <w:p w14:paraId="01E844FB">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掌握连锁与交换的概念、内容、实质和意义。交换值和重组值的概念、意义和计算方法；熟练掌握两点、三点测交绘制连锁图的方法；干涉和并发系数的概念及其意义；掌握通过基因距离预测测交后代的种类和比例；理解三大遗传基本规律的区别和联系；理解三大遗传规律与减数分裂的关系。</w:t>
            </w:r>
          </w:p>
          <w:p w14:paraId="2605A3D8">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第六章 遗传物质的分子基础 </w:t>
            </w:r>
          </w:p>
          <w:p w14:paraId="0DEDA3E2">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核酸是遗传物质的载体，核酸的分子结构，基因的概念及发展，基因的结构特征、基因组DNA的序列分类，DNA复制、RNA转录、蛋白质的生物合成。</w:t>
            </w:r>
          </w:p>
          <w:p w14:paraId="501F997B">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了解DNA是遗传物质的直接和间接证据；掌握核酸的组成与结构，DNA的二级结构特点和高级结构；理解DNA 的复制、转录和翻译的重要特性和过程；RNA的分类与结构，遗传密码的特性，转录的后加工及其翻译后加工；掌握基因的概念及发展，原核生物和真核生物基因的结构特征。</w:t>
            </w:r>
          </w:p>
          <w:p w14:paraId="2333AD74">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第七章 基因的表达调控 </w:t>
            </w:r>
          </w:p>
          <w:p w14:paraId="6F66D606">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基因的正调控与负调控，原核生物的基因表达调控，真核生物的基因表达调控。</w:t>
            </w:r>
          </w:p>
          <w:p w14:paraId="5FA351FA">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掌握大肠杆菌乳糖操纵子的结构、正负调控机理；大肠杆菌色氨酸操纵子的作用机理；掌握真核生物基因表达调控的几个水平；掌握真核生物基因表达调控的顺式作用元件和反式作用因子。理解真核生物的表达调控与原核生物调控的不同。</w:t>
            </w:r>
          </w:p>
          <w:p w14:paraId="26780AE1">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第八章 染色体遗传信息的改变</w:t>
            </w:r>
          </w:p>
          <w:p w14:paraId="0A5C6C2B">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染色体结构和数目的改变，基因突变。</w:t>
            </w:r>
          </w:p>
          <w:p w14:paraId="0FD7088C">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掌握染色体结构改变的种类、定义、细胞学特征及其产生的遗传学效应；掌握染色体数目改变的定义、种类、遗传学效应；了解染色体结构改变在育种中的案例。掌握基因突变的定义、分类和一般特征；掌握引起基因突变的因素和机理；掌握基因突变的修复机制。</w:t>
            </w:r>
          </w:p>
          <w:p w14:paraId="5D6A03A3">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第九章 非孟德尔遗传  </w:t>
            </w:r>
          </w:p>
          <w:p w14:paraId="16B513DF">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母性影响，剂量补偿效应，基因组印迹，表观遗传学，核外遗传。</w:t>
            </w:r>
          </w:p>
          <w:p w14:paraId="0DE484EC">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了解非孟德尔遗传的现象；掌握母性影响、剂量补偿效应、基因组印迹、表观遗传学的基本概念、现象和特征；理解核外遗传与核内遗传的区别和联系；掌握表观遗传学的内容和实质。</w:t>
            </w:r>
          </w:p>
          <w:p w14:paraId="1ED651D6">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第十章 群体遗传学基础   </w:t>
            </w:r>
          </w:p>
          <w:p w14:paraId="00C95598">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 xml:space="preserve">内容： </w:t>
            </w:r>
            <w:r>
              <w:rPr>
                <w:rFonts w:hint="eastAsia" w:ascii="仿宋" w:hAnsi="仿宋" w:eastAsia="仿宋"/>
                <w:sz w:val="24"/>
                <w:szCs w:val="24"/>
              </w:rPr>
              <w:t>群体的遗传结构，平衡群体与哈代—温伯格定律，影响遗传平衡定律的因素。</w:t>
            </w:r>
          </w:p>
          <w:p w14:paraId="1B517974">
            <w:pPr>
              <w:spacing w:line="480" w:lineRule="exact"/>
              <w:ind w:firstLine="482" w:firstLineChars="200"/>
              <w:rPr>
                <w:rFonts w:hint="eastAsia" w:ascii="仿宋" w:hAnsi="仿宋" w:eastAsia="仿宋"/>
                <w:b/>
                <w:bCs/>
                <w:sz w:val="24"/>
                <w:szCs w:val="24"/>
              </w:rPr>
            </w:pPr>
            <w:r>
              <w:rPr>
                <w:rFonts w:hint="eastAsia" w:ascii="仿宋" w:hAnsi="仿宋" w:eastAsia="仿宋"/>
                <w:b/>
                <w:sz w:val="24"/>
                <w:szCs w:val="24"/>
              </w:rPr>
              <w:t>要求：</w:t>
            </w:r>
            <w:r>
              <w:rPr>
                <w:rFonts w:hint="eastAsia" w:ascii="仿宋" w:hAnsi="仿宋" w:eastAsia="仿宋"/>
                <w:sz w:val="24"/>
                <w:szCs w:val="24"/>
              </w:rPr>
              <w:t>理解群体遗传学的遗传结构的概念和意义，基因频率和基因型频率的定义和关系；掌握哈代—温伯格定律，掌握基因频率和基因型频率的计算；影响群体平衡的几个因素。</w:t>
            </w:r>
          </w:p>
          <w:p w14:paraId="1AF12614">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第十一章 数量遗传学基础 </w:t>
            </w:r>
          </w:p>
          <w:p w14:paraId="37517F1E">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性状的分类，数量性状的遗传特点，数量性状的多基因假说，数量性状的几个遗传参数，数量遗传的遗传改良。</w:t>
            </w:r>
          </w:p>
          <w:p w14:paraId="5CCA499D">
            <w:pPr>
              <w:spacing w:line="480" w:lineRule="exact"/>
              <w:ind w:firstLine="482" w:firstLineChars="200"/>
              <w:rPr>
                <w:rFonts w:hint="eastAsia" w:ascii="仿宋" w:hAnsi="仿宋" w:eastAsia="仿宋"/>
                <w:bCs/>
                <w:sz w:val="24"/>
                <w:szCs w:val="24"/>
              </w:rPr>
            </w:pPr>
            <w:r>
              <w:rPr>
                <w:rFonts w:hint="eastAsia" w:ascii="仿宋" w:hAnsi="仿宋" w:eastAsia="仿宋"/>
                <w:b/>
                <w:sz w:val="24"/>
                <w:szCs w:val="24"/>
              </w:rPr>
              <w:t>要求：</w:t>
            </w:r>
            <w:r>
              <w:rPr>
                <w:rFonts w:hint="eastAsia" w:ascii="仿宋" w:hAnsi="仿宋" w:eastAsia="仿宋"/>
                <w:sz w:val="24"/>
                <w:szCs w:val="24"/>
              </w:rPr>
              <w:t>掌握数量性状和质量性状的区别与联系；掌握数量性状的遗传机制；掌握多基因作用的方式；掌握遗传参数在育种中的意义；掌握分子数量遗传的研究方法及应用。</w:t>
            </w:r>
          </w:p>
          <w:p w14:paraId="08E82775">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 xml:space="preserve">第十二章 动物基因组学基础  </w:t>
            </w:r>
          </w:p>
          <w:p w14:paraId="4D71FC92">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动物遗传标记，基因组的结构特征，基因组图谱，基因组解析的意义。</w:t>
            </w:r>
          </w:p>
          <w:p w14:paraId="7AB3ED48">
            <w:pPr>
              <w:spacing w:line="480" w:lineRule="exact"/>
              <w:ind w:firstLine="482" w:firstLineChars="200"/>
              <w:rPr>
                <w:rFonts w:hint="eastAsia" w:ascii="仿宋" w:hAnsi="仿宋" w:eastAsia="仿宋"/>
                <w:bCs/>
                <w:sz w:val="24"/>
                <w:szCs w:val="24"/>
              </w:rPr>
            </w:pPr>
            <w:r>
              <w:rPr>
                <w:rFonts w:hint="eastAsia" w:ascii="仿宋" w:hAnsi="仿宋" w:eastAsia="仿宋"/>
                <w:b/>
                <w:sz w:val="24"/>
                <w:szCs w:val="24"/>
              </w:rPr>
              <w:t>要求：</w:t>
            </w:r>
            <w:r>
              <w:rPr>
                <w:rFonts w:hint="eastAsia" w:ascii="仿宋" w:hAnsi="仿宋" w:eastAsia="仿宋"/>
                <w:sz w:val="24"/>
                <w:szCs w:val="24"/>
              </w:rPr>
              <w:t>掌握常用的动物遗传标记以及在育种中的应用；掌握原核生物和真核基因组的特征，掌握基因组学的定义、分类和研究内容，基因组图谱的类型和基因定位方法；理解基因组解析的意义。</w:t>
            </w:r>
          </w:p>
          <w:p w14:paraId="175F68A7">
            <w:pPr>
              <w:spacing w:line="480" w:lineRule="exact"/>
              <w:ind w:firstLine="482" w:firstLineChars="200"/>
              <w:rPr>
                <w:rFonts w:hint="eastAsia" w:ascii="仿宋" w:hAnsi="仿宋" w:eastAsia="仿宋"/>
                <w:b/>
                <w:bCs/>
                <w:sz w:val="24"/>
                <w:szCs w:val="24"/>
              </w:rPr>
            </w:pPr>
            <w:r>
              <w:rPr>
                <w:rFonts w:hint="eastAsia" w:ascii="仿宋" w:hAnsi="仿宋" w:eastAsia="仿宋"/>
                <w:b/>
                <w:bCs/>
                <w:sz w:val="24"/>
                <w:szCs w:val="24"/>
              </w:rPr>
              <w:t>第十三章 动物遗传操作</w:t>
            </w:r>
          </w:p>
          <w:p w14:paraId="6DF3226C">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内容：</w:t>
            </w:r>
            <w:r>
              <w:rPr>
                <w:rFonts w:hint="eastAsia" w:ascii="仿宋" w:hAnsi="仿宋" w:eastAsia="仿宋"/>
                <w:sz w:val="24"/>
                <w:szCs w:val="24"/>
              </w:rPr>
              <w:t>基因工程中的酶和载体，基因工程的一般步骤，基因工程的应用，转基因动物与动物克隆技术，基因编辑与抗病育种。</w:t>
            </w:r>
          </w:p>
          <w:p w14:paraId="2B521704">
            <w:pPr>
              <w:spacing w:line="480" w:lineRule="exact"/>
              <w:ind w:firstLine="482" w:firstLineChars="200"/>
              <w:rPr>
                <w:rFonts w:hint="eastAsia" w:ascii="仿宋" w:hAnsi="仿宋" w:eastAsia="仿宋"/>
                <w:sz w:val="24"/>
                <w:szCs w:val="24"/>
              </w:rPr>
            </w:pPr>
            <w:r>
              <w:rPr>
                <w:rFonts w:hint="eastAsia" w:ascii="仿宋" w:hAnsi="仿宋" w:eastAsia="仿宋"/>
                <w:b/>
                <w:sz w:val="24"/>
                <w:szCs w:val="24"/>
              </w:rPr>
              <w:t>要求：</w:t>
            </w:r>
            <w:r>
              <w:rPr>
                <w:rFonts w:hint="eastAsia" w:ascii="仿宋" w:hAnsi="仿宋" w:eastAsia="仿宋"/>
                <w:sz w:val="24"/>
                <w:szCs w:val="24"/>
              </w:rPr>
              <w:t>掌握基因工程操作的一般步骤，获取目的基因、DNA体外重组、转入和筛选鉴定等的方法；掌握转基因动物与动物克隆技术，基因编辑与抗病育种的概念和方法；理解基因工程在育种中的应用和价值。</w:t>
            </w:r>
          </w:p>
          <w:p w14:paraId="5D639EAB">
            <w:pPr>
              <w:spacing w:line="480" w:lineRule="exact"/>
              <w:ind w:firstLine="480" w:firstLineChars="200"/>
              <w:rPr>
                <w:rFonts w:ascii="仿宋" w:hAnsi="仿宋" w:eastAsia="仿宋"/>
                <w:sz w:val="24"/>
              </w:rPr>
            </w:pPr>
          </w:p>
          <w:p w14:paraId="7641254D">
            <w:pPr>
              <w:spacing w:line="480" w:lineRule="exact"/>
              <w:ind w:firstLine="482" w:firstLineChars="20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第三部分 动物营养学</w:t>
            </w:r>
            <w:r>
              <w:rPr>
                <w:rFonts w:hint="eastAsia" w:ascii="仿宋" w:hAnsi="仿宋" w:eastAsia="仿宋"/>
                <w:b/>
                <w:bCs w:val="0"/>
                <w:color w:val="000000" w:themeColor="text1"/>
                <w:sz w:val="24"/>
                <w:szCs w:val="24"/>
                <w14:textFill>
                  <w14:solidFill>
                    <w14:schemeClr w14:val="tx1"/>
                  </w14:solidFill>
                </w14:textFill>
              </w:rPr>
              <w:t>与饲料</w:t>
            </w:r>
            <w:r>
              <w:rPr>
                <w:rFonts w:hint="eastAsia" w:ascii="仿宋" w:hAnsi="仿宋" w:eastAsia="仿宋"/>
                <w:b/>
                <w:color w:val="000000" w:themeColor="text1"/>
                <w:sz w:val="24"/>
                <w:szCs w:val="24"/>
                <w14:textFill>
                  <w14:solidFill>
                    <w14:schemeClr w14:val="tx1"/>
                  </w14:solidFill>
                </w14:textFill>
              </w:rPr>
              <w:t>学</w:t>
            </w:r>
          </w:p>
          <w:p w14:paraId="2CB326DF">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第一章  动物营养生理</w:t>
            </w:r>
          </w:p>
          <w:p w14:paraId="4CC844E1">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饲料中养分的概念和分类；动物对养分的消化与利用；各类动物的消化生理特点。</w:t>
            </w:r>
          </w:p>
          <w:p w14:paraId="40E737F3">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 xml:space="preserve">掌握养分概略分析方案，游离水、吸附水、粗蛋白质、粗脂肪、粗纤维、粗灰分、无氮浸出物的含义，饲料概略养分的概念及其与纯成分的区别；能够进行不同饲料基础下的养分含量转换；理解单胃动物和反刍动物消化生理特点。 </w:t>
            </w:r>
          </w:p>
          <w:p w14:paraId="36F54A60">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第二章 蛋白质营养                     </w:t>
            </w:r>
          </w:p>
          <w:p w14:paraId="384E9D1D">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蛋白质、粗蛋白质、寡肽、多肽、过瘤胃蛋白质、瘤胃氮素循环、蛋白质周转代谢、必需氨基酸、半必需氨基酸、条件性氨基酸、非必需氨基酸、限制性氨基酸、氨基酸拮抗、氨基酸平衡、氨基酸互补、理想蛋白质、蛋白质的生物学价值、蛋白质效率比、可消化氨基酸、可利用氨基酸、非蛋白氮化合物的概念；单胃动物和反刍动物蛋白质的消化、吸收与代谢的特点及其差异，影响蛋白质消化率因素；非蛋白氮的利用。</w:t>
            </w:r>
          </w:p>
          <w:p w14:paraId="6BCCCE1A">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掌握必需氨基酸与非必需氨基酸，限制性氨基酸，氨基酸平衡与理想蛋白，单胃动物饲料蛋白质营养价值评定，单胃动物和反刍动物蛋白质消化、吸收和代谢的特点和异同，反刍动物利用NPN的原理。</w:t>
            </w:r>
          </w:p>
          <w:p w14:paraId="3462E10D">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第三章 碳水化合物营养                     </w:t>
            </w:r>
          </w:p>
          <w:p w14:paraId="6C79026B">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碳水化合物的概念、分类与作用，碳水化合物的消化、吸收与代谢，非淀粉多糖的抗营养作用和寡糖的益生作用。</w:t>
            </w:r>
          </w:p>
          <w:p w14:paraId="5BE109F7">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碳水化合物、寡糖、多糖、非淀粉多糖、纤维素的概念，结构性多糖、营养性多糖种类、特点及其营养功能，单胃动物和反刍动物对碳水化合物的消化、代谢特点及差异，寡糖、非淀粉多糖的种类及其在畜牧上的应用。</w:t>
            </w:r>
          </w:p>
          <w:p w14:paraId="01F0CE42">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第四章 脂类营养                       </w:t>
            </w:r>
          </w:p>
          <w:p w14:paraId="02E64C46">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 xml:space="preserve">脂类的概念、分类与作用，脂类的消化、吸收与代谢，必需脂肪酸概念和作用。 </w:t>
            </w:r>
          </w:p>
          <w:p w14:paraId="3CF401FD">
            <w:pPr>
              <w:spacing w:line="480" w:lineRule="exact"/>
              <w:ind w:firstLine="482" w:firstLineChars="200"/>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掌握脂类、粗脂肪、单不饱和脂肪酸、多不饱和脂肪酸、必需脂肪酸的概念，脂类的分类与作用，脂类的基本特性，单胃动物和反刍动物脂类消化、吸收和代谢的特点和差异。</w:t>
            </w:r>
          </w:p>
          <w:p w14:paraId="46BF2F85">
            <w:pPr>
              <w:spacing w:line="480" w:lineRule="exact"/>
              <w:ind w:firstLine="482" w:firstLineChars="200"/>
              <w:rPr>
                <w:rFonts w:ascii="仿宋" w:hAnsi="仿宋" w:eastAsia="仿宋"/>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第五章  能量营养  </w:t>
            </w:r>
            <w:r>
              <w:rPr>
                <w:rFonts w:hint="eastAsia" w:ascii="仿宋" w:hAnsi="仿宋" w:eastAsia="仿宋"/>
                <w:bCs/>
                <w:color w:val="000000" w:themeColor="text1"/>
                <w:sz w:val="24"/>
                <w:szCs w:val="24"/>
                <w14:textFill>
                  <w14:solidFill>
                    <w14:schemeClr w14:val="tx1"/>
                  </w14:solidFill>
                </w14:textFill>
              </w:rPr>
              <w:t xml:space="preserve">                      </w:t>
            </w:r>
          </w:p>
          <w:p w14:paraId="039F7217">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 xml:space="preserve">总能、消化能、代谢能、净能、维持净能、生产净能、热增耗的概念及其影响因素，能量在动物体内的转化过程，能量体系的应用。 </w:t>
            </w:r>
          </w:p>
          <w:p w14:paraId="7C0EE802">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掌握能量的概念、单位、来源，消化能（表观消化能、真消化能）、代谢能（表观代谢能、真代谢能、氮校正代谢能）、净能（维持净能、生产净能）、热增耗的基本概念及测定方法、能量体系及其应用。</w:t>
            </w:r>
          </w:p>
          <w:p w14:paraId="74B6944D">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第六章 水的营养                           </w:t>
            </w:r>
          </w:p>
          <w:p w14:paraId="7E1F1C25">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 xml:space="preserve">水的功能，水的来源，水的排泄。 </w:t>
            </w:r>
          </w:p>
          <w:p w14:paraId="54C20B15">
            <w:pPr>
              <w:spacing w:line="480" w:lineRule="exact"/>
              <w:ind w:firstLine="482" w:firstLineChars="200"/>
              <w:rPr>
                <w:rFonts w:ascii="仿宋" w:hAnsi="仿宋" w:eastAsia="仿宋"/>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掌握水的功能，水的来源和排泄途径，动物对水的需要和水的卫生质量要求。</w:t>
            </w:r>
          </w:p>
          <w:p w14:paraId="6CF06415">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第七章 矿物质营养                    </w:t>
            </w:r>
          </w:p>
          <w:p w14:paraId="0A6306A7">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 xml:space="preserve">矿质元素的分类及生理功能、常量矿质元素、微量矿质元素的基本营养功能、典型缺乏症。 </w:t>
            </w:r>
          </w:p>
          <w:p w14:paraId="31779659">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掌握常量矿质元素、微量矿质元素、必需矿质元素的概念，钙、磷、镁、钾、钠、氯、硫、铁、铜、锰、锌、硒、碘、钴、钼、氟、铬、砷的基本营养功能，自然界存在状况，吸收特点，典型缺乏症。</w:t>
            </w:r>
          </w:p>
          <w:p w14:paraId="40200421">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第八章 维生素营养                   </w:t>
            </w:r>
          </w:p>
          <w:p w14:paraId="4A8F77F3">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维生素的种类与特性，脂溶性维生素和水溶性维生素的特点。</w:t>
            </w:r>
          </w:p>
          <w:p w14:paraId="524B844A">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掌握维生素的基本概念、脂溶性维生素、水溶性维生素的种类、各种维生素的生理功能。脂溶性维生素和主要水溶性维生素的典型缺乏症。</w:t>
            </w:r>
          </w:p>
          <w:p w14:paraId="763427AE">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第九章 饲料的分类</w:t>
            </w:r>
          </w:p>
          <w:p w14:paraId="231D2137">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国际饲料分类，中国饲料的分类和饲料原料目录。</w:t>
            </w:r>
          </w:p>
          <w:p w14:paraId="0FE3A828">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bCs/>
                <w:color w:val="000000" w:themeColor="text1"/>
                <w:sz w:val="24"/>
                <w:szCs w:val="24"/>
                <w14:textFill>
                  <w14:solidFill>
                    <w14:schemeClr w14:val="tx1"/>
                  </w14:solidFill>
                </w14:textFill>
              </w:rPr>
              <w:t>了解不同的饲料分类方法。</w:t>
            </w:r>
            <w:r>
              <w:rPr>
                <w:rFonts w:hint="eastAsia" w:ascii="仿宋" w:hAnsi="仿宋" w:eastAsia="仿宋"/>
                <w:color w:val="000000" w:themeColor="text1"/>
                <w:sz w:val="24"/>
                <w:szCs w:val="24"/>
                <w14:textFill>
                  <w14:solidFill>
                    <w14:schemeClr w14:val="tx1"/>
                  </w14:solidFill>
                </w14:textFill>
              </w:rPr>
              <w:t>掌握国际饲料分类法的依据及各大类饲料的特点。</w:t>
            </w:r>
          </w:p>
          <w:p w14:paraId="7401BD41">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第十章 青粗饲料</w:t>
            </w:r>
          </w:p>
          <w:p w14:paraId="76016B5F">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青绿饲料的营养和特点；青贮的原理及青贮饲料的营养特点；粗饲料的营养特点及提高其营养价值的措施。</w:t>
            </w:r>
          </w:p>
          <w:p w14:paraId="15741642">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掌握青绿饲料、青贮饲料和粗饲料的概念；青贮的原理及关键技术；粗饲料的营养特点及提高其营养价值的方法。</w:t>
            </w:r>
          </w:p>
          <w:p w14:paraId="6AE5827F">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第十一章 能量饲料</w:t>
            </w:r>
          </w:p>
          <w:p w14:paraId="66B5860C">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能量饲料的分类；玉米、小麦、糠麸类、油脂和乳清粉等主要能量饲料的营养特点。</w:t>
            </w:r>
          </w:p>
          <w:p w14:paraId="1CF2CC26">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掌握能量饲料的概念；能量饲料的种类；常用能量饲料的营养价值及在动物生产中的应用。</w:t>
            </w:r>
          </w:p>
          <w:p w14:paraId="2FBFF629">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第十二章 蛋白质饲料</w:t>
            </w:r>
          </w:p>
          <w:p w14:paraId="2F2B5127">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蛋白质饲料的概念和分类；植物性蛋白质饲料、动物性蛋白质饲料和单细胞蛋白质饲料的种类和营养特点。</w:t>
            </w:r>
          </w:p>
          <w:p w14:paraId="748B23E1">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掌握蛋白质饲料的概念和种类；不同蛋白质饲料的营养特性及饲用价值；不同蛋白质饲料在动物生产中的合理使用。</w:t>
            </w:r>
          </w:p>
          <w:p w14:paraId="19239491">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第十三章 饲料添加剂</w:t>
            </w:r>
          </w:p>
          <w:p w14:paraId="5E37104B">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饲料添加剂的概念、作用和分类；营养性饲料添加剂和非营养性饲料添加剂的种类及饲料添加剂品种目录。</w:t>
            </w:r>
          </w:p>
          <w:p w14:paraId="4CA210EC">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掌握饲料添加剂的概念和种类；益生菌、酶制剂、酸化剂和饲料品种调节剂的种类和作用。</w:t>
            </w:r>
          </w:p>
          <w:p w14:paraId="3CC3B465">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 xml:space="preserve">第十四章 动物营养需要的研究方法             </w:t>
            </w:r>
          </w:p>
          <w:p w14:paraId="3305A1BF">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消化试验、代谢试验、平衡试验、饲养试验、平衡试验、屠宰试验的概念、消化试验的分类。</w:t>
            </w:r>
          </w:p>
          <w:p w14:paraId="2756689A">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掌握消化试验、代谢试验、平衡试验、饲养试验、平衡试验、屠宰试验的基本方法和技术。综合法、析因法的基本概念。</w:t>
            </w:r>
          </w:p>
          <w:p w14:paraId="62654D58">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第十五章 营养需要与饲养标准</w:t>
            </w:r>
          </w:p>
          <w:p w14:paraId="524B3CA9">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营养需要、饲养标准的概念及其应用。</w:t>
            </w:r>
          </w:p>
          <w:p w14:paraId="56DC0222">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营养需要和饲养标准的概念，掌握饲养标准的组成、结构，不同种类动物的饲养标准及其特点。</w:t>
            </w:r>
          </w:p>
          <w:p w14:paraId="5B90C2E1">
            <w:pPr>
              <w:spacing w:line="480" w:lineRule="exact"/>
              <w:ind w:firstLine="482" w:firstLineChars="2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第十六章 动物的采食量</w:t>
            </w:r>
          </w:p>
          <w:p w14:paraId="374132EB">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采食量概念和意义；采食量的调节和影响采食量的因素。</w:t>
            </w:r>
          </w:p>
          <w:p w14:paraId="0AB79D2A">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bCs/>
                <w:color w:val="000000" w:themeColor="text1"/>
                <w:sz w:val="24"/>
                <w:szCs w:val="24"/>
                <w14:textFill>
                  <w14:solidFill>
                    <w14:schemeClr w14:val="tx1"/>
                  </w14:solidFill>
                </w14:textFill>
              </w:rPr>
              <w:t>理解采食量的调节；</w:t>
            </w:r>
            <w:r>
              <w:rPr>
                <w:rFonts w:hint="eastAsia" w:ascii="仿宋" w:hAnsi="仿宋" w:eastAsia="仿宋"/>
                <w:color w:val="000000" w:themeColor="text1"/>
                <w:sz w:val="24"/>
                <w:szCs w:val="24"/>
                <w14:textFill>
                  <w14:solidFill>
                    <w14:schemeClr w14:val="tx1"/>
                  </w14:solidFill>
                </w14:textFill>
              </w:rPr>
              <w:t>掌握采食量的概念、采食量的表示方法及影响采食量的主要因素。</w:t>
            </w:r>
          </w:p>
          <w:p w14:paraId="49FAFED4">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第十七章 维持和生长的营养需要</w:t>
            </w:r>
          </w:p>
          <w:p w14:paraId="6537F4D8">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维持需要、基础代谢、绝食代谢、随意活动、内源尿氮、代谢粪氮和体表氮损失的概念；生长的基本概念。</w:t>
            </w:r>
          </w:p>
          <w:p w14:paraId="66ECA425">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掌握析因法确定动物维持、生长的能量与营养物质的需要的基本原理。</w:t>
            </w:r>
          </w:p>
          <w:p w14:paraId="10B01FB6">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第十八章 繁殖的营养需要</w:t>
            </w:r>
          </w:p>
          <w:p w14:paraId="38956B6B">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孕期合成代谢（妊娠效应）、短期优饲、标准乳、乳脂校正乳（FCM）、非脂固形。</w:t>
            </w:r>
          </w:p>
          <w:p w14:paraId="3F500D60">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掌握确定动物妊娠和泌乳的能量与营养物质的需要的基本方法，析因法计算动物妊娠和泌乳需要的基本原理。</w:t>
            </w:r>
          </w:p>
          <w:p w14:paraId="1C734620">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第十九章 产蛋和产毛的营养需要</w:t>
            </w:r>
          </w:p>
          <w:p w14:paraId="2EB7EE21">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动物产蛋和产毛营养需要的基本原理。</w:t>
            </w:r>
          </w:p>
          <w:p w14:paraId="7594D3D2">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掌握确定动物产蛋和产毛的能量与营养物质的需要的基本方法，析因法计算动物产蛋和产毛营养需要的基本原理。</w:t>
            </w:r>
          </w:p>
          <w:p w14:paraId="48EEFD42">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第二十章 配合饲料与配方设计</w:t>
            </w:r>
          </w:p>
          <w:p w14:paraId="7D1E167E">
            <w:pPr>
              <w:spacing w:line="480" w:lineRule="exact"/>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内容：</w:t>
            </w:r>
            <w:r>
              <w:rPr>
                <w:rFonts w:hint="eastAsia" w:ascii="仿宋" w:hAnsi="仿宋" w:eastAsia="仿宋"/>
                <w:color w:val="000000" w:themeColor="text1"/>
                <w:sz w:val="24"/>
                <w:szCs w:val="24"/>
                <w14:textFill>
                  <w14:solidFill>
                    <w14:schemeClr w14:val="tx1"/>
                  </w14:solidFill>
                </w14:textFill>
              </w:rPr>
              <w:t>配合饲料的概念和分类；饲料配方设计的原则和方法。</w:t>
            </w:r>
          </w:p>
          <w:p w14:paraId="7612C5EF">
            <w:pPr>
              <w:spacing w:line="480" w:lineRule="exact"/>
              <w:ind w:firstLine="482" w:firstLineChars="2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14:textFill>
                  <w14:solidFill>
                    <w14:schemeClr w14:val="tx1"/>
                  </w14:solidFill>
                </w14:textFill>
              </w:rPr>
              <w:t>理解饲料配方的设计原理及方法；掌握</w:t>
            </w:r>
            <w:r>
              <w:rPr>
                <w:rFonts w:hint="eastAsia" w:ascii="仿宋" w:hAnsi="仿宋" w:eastAsia="仿宋"/>
                <w:bCs/>
                <w:color w:val="000000" w:themeColor="text1"/>
                <w:sz w:val="24"/>
                <w:szCs w:val="24"/>
                <w14:textFill>
                  <w14:solidFill>
                    <w14:schemeClr w14:val="tx1"/>
                  </w14:solidFill>
                </w14:textFill>
              </w:rPr>
              <w:t>配合饲料的概念、配合饲料的分类及特点。</w:t>
            </w:r>
          </w:p>
          <w:p w14:paraId="4CD92AA4">
            <w:pPr>
              <w:spacing w:line="360" w:lineRule="auto"/>
              <w:rPr>
                <w:rFonts w:ascii="宋体" w:hAnsi="宋体"/>
                <w:sz w:val="24"/>
              </w:rPr>
            </w:pPr>
          </w:p>
        </w:tc>
      </w:tr>
      <w:tr w14:paraId="601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59B10EF6">
            <w:pPr>
              <w:rPr>
                <w:rFonts w:ascii="宋体" w:hAnsi="宋体"/>
                <w:sz w:val="24"/>
              </w:rPr>
            </w:pPr>
            <w:r>
              <w:rPr>
                <w:rFonts w:hint="eastAsia" w:ascii="宋体" w:hAnsi="宋体"/>
                <w:sz w:val="24"/>
              </w:rPr>
              <w:t>参考书目 (包括作者、书目名称、出版社、出版时间、版次)：</w:t>
            </w:r>
          </w:p>
          <w:p w14:paraId="3410C433">
            <w:pPr>
              <w:spacing w:line="276"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杨秀平、肖向红主编，动物生理学，高等教育出版社，2009，第二版。</w:t>
            </w:r>
          </w:p>
          <w:p w14:paraId="08AF7B64">
            <w:pPr>
              <w:spacing w:line="276"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周定刚主编，动物生理学，中国林业出版社，2016，第二版。</w:t>
            </w:r>
          </w:p>
          <w:p w14:paraId="65B24B9B">
            <w:pPr>
              <w:spacing w:line="276" w:lineRule="auto"/>
              <w:ind w:firstLine="480" w:firstLineChars="200"/>
              <w:rPr>
                <w:rFonts w:ascii="仿宋" w:hAnsi="仿宋" w:eastAsia="仿宋"/>
                <w:sz w:val="24"/>
              </w:rPr>
            </w:pPr>
            <w:bookmarkStart w:id="0" w:name="_Hlk83281504"/>
            <w:r>
              <w:rPr>
                <w:rFonts w:hint="eastAsia" w:ascii="仿宋" w:hAnsi="仿宋" w:eastAsia="仿宋"/>
                <w:sz w:val="24"/>
              </w:rPr>
              <w:t>3</w:t>
            </w:r>
            <w:r>
              <w:rPr>
                <w:rFonts w:ascii="仿宋" w:hAnsi="仿宋" w:eastAsia="仿宋"/>
                <w:sz w:val="24"/>
              </w:rPr>
              <w:t>.</w:t>
            </w:r>
            <w:r>
              <w:rPr>
                <w:rFonts w:hint="eastAsia" w:ascii="仿宋" w:hAnsi="仿宋" w:eastAsia="仿宋"/>
                <w:sz w:val="24"/>
              </w:rPr>
              <w:t>刘宗柱主编，动物生理学，华中科技大学出版社，2022，第二版。</w:t>
            </w:r>
          </w:p>
          <w:p w14:paraId="02703541">
            <w:pPr>
              <w:spacing w:line="276"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吴常信主编，动物遗传学，高等教育出版社，20</w:t>
            </w:r>
            <w:r>
              <w:rPr>
                <w:rFonts w:ascii="仿宋" w:hAnsi="仿宋" w:eastAsia="仿宋"/>
                <w:sz w:val="24"/>
              </w:rPr>
              <w:t>15</w:t>
            </w:r>
            <w:r>
              <w:rPr>
                <w:rFonts w:hint="eastAsia" w:ascii="仿宋" w:hAnsi="仿宋" w:eastAsia="仿宋"/>
                <w:sz w:val="24"/>
              </w:rPr>
              <w:t>，第二版。</w:t>
            </w:r>
          </w:p>
          <w:bookmarkEnd w:id="0"/>
          <w:p w14:paraId="5AB7F87A">
            <w:pPr>
              <w:spacing w:line="276" w:lineRule="auto"/>
              <w:ind w:right="453" w:firstLine="480" w:firstLineChars="200"/>
              <w:rPr>
                <w:rFonts w:hint="eastAsia"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计成主编，动物营养学，高等教育出版社，2008，第一版。</w:t>
            </w:r>
          </w:p>
          <w:p w14:paraId="3315105E">
            <w:pPr>
              <w:spacing w:line="276" w:lineRule="auto"/>
              <w:ind w:right="453" w:firstLine="480" w:firstLineChars="200"/>
              <w:rPr>
                <w:rFonts w:hint="eastAsia" w:ascii="仿宋" w:hAnsi="仿宋" w:eastAsia="仿宋"/>
                <w:sz w:val="24"/>
              </w:rPr>
            </w:pPr>
            <w:r>
              <w:rPr>
                <w:rFonts w:hint="eastAsia" w:ascii="仿宋" w:hAnsi="仿宋" w:eastAsia="仿宋"/>
                <w:color w:val="000000" w:themeColor="text1"/>
                <w:sz w:val="24"/>
                <w:szCs w:val="24"/>
                <w14:textFill>
                  <w14:solidFill>
                    <w14:schemeClr w14:val="tx1"/>
                  </w14:solidFill>
                </w14:textFill>
              </w:rPr>
              <w:t>6.陈代文主编，动物营养与饲料学，中国农业出版社，2015，第二版。</w:t>
            </w:r>
          </w:p>
        </w:tc>
      </w:tr>
    </w:tbl>
    <w:p w14:paraId="21697411">
      <w:pPr>
        <w:spacing w:line="560" w:lineRule="exact"/>
        <w:rPr>
          <w:rFonts w:ascii="仿宋_GB2312" w:hAnsi="仿宋_GB2312" w:eastAsia="仿宋_GB2312"/>
          <w:sz w:val="32"/>
        </w:rPr>
      </w:pPr>
    </w:p>
    <w:p w14:paraId="49D7D8FD">
      <w:pPr>
        <w:spacing w:line="560" w:lineRule="exact"/>
        <w:rPr>
          <w:rFonts w:ascii="仿宋_GB2312" w:hAnsi="仿宋_GB2312" w:eastAsia="仿宋_GB2312"/>
          <w:sz w:val="32"/>
        </w:rPr>
      </w:pPr>
    </w:p>
    <w:p w14:paraId="044C4951">
      <w:pPr>
        <w:spacing w:line="560" w:lineRule="exact"/>
        <w:rPr>
          <w:rFonts w:ascii="仿宋_GB2312" w:hAnsi="仿宋_GB2312" w:eastAsia="仿宋_GB2312"/>
          <w:sz w:val="32"/>
        </w:rPr>
      </w:pPr>
    </w:p>
    <w:p w14:paraId="0A47232B">
      <w:pPr>
        <w:spacing w:line="560" w:lineRule="exact"/>
        <w:rPr>
          <w:rFonts w:ascii="仿宋_GB2312" w:hAnsi="仿宋_GB2312" w:eastAsia="仿宋_GB2312"/>
          <w:sz w:val="32"/>
        </w:rPr>
      </w:pPr>
    </w:p>
    <w:p w14:paraId="3FEE89F2">
      <w:pPr>
        <w:widowControl/>
        <w:jc w:val="left"/>
      </w:pPr>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0D407EC-A551-495C-AEBD-BA833A4587CE}"/>
  </w:font>
  <w:font w:name="仿宋_GB2312">
    <w:altName w:val="仿宋"/>
    <w:panose1 w:val="00000000000000000000"/>
    <w:charset w:val="86"/>
    <w:family w:val="modern"/>
    <w:pitch w:val="default"/>
    <w:sig w:usb0="00000000" w:usb1="00000000" w:usb2="00000010" w:usb3="00000000" w:csb0="00040000" w:csb1="00000000"/>
    <w:embedRegular r:id="rId2" w:fontKey="{A1393867-6174-4DD2-A9D0-0502ADB5EA67}"/>
  </w:font>
  <w:font w:name="仿宋">
    <w:panose1 w:val="02010609060101010101"/>
    <w:charset w:val="86"/>
    <w:family w:val="modern"/>
    <w:pitch w:val="default"/>
    <w:sig w:usb0="800002BF" w:usb1="38CF7CFA" w:usb2="00000016" w:usb3="00000000" w:csb0="00040001" w:csb1="00000000"/>
    <w:embedRegular r:id="rId3" w:fontKey="{44B78A0B-8A1C-4FD9-BFFE-F8103B0C2013}"/>
  </w:font>
  <w:font w:name="微软雅黑">
    <w:panose1 w:val="020B0503020204020204"/>
    <w:charset w:val="86"/>
    <w:family w:val="auto"/>
    <w:pitch w:val="default"/>
    <w:sig w:usb0="80000287" w:usb1="2ACF3C50" w:usb2="00000016" w:usb3="00000000" w:csb0="0004001F" w:csb1="00000000"/>
    <w:embedRegular r:id="rId4" w:fontKey="{689C82C4-9BFC-45CF-A0AE-23054739F1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FC38">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E7A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725CA"/>
    <w:multiLevelType w:val="singleLevel"/>
    <w:tmpl w:val="07A725C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A"/>
    <w:rsid w:val="00000085"/>
    <w:rsid w:val="000100E5"/>
    <w:rsid w:val="0001351E"/>
    <w:rsid w:val="0002281E"/>
    <w:rsid w:val="00025AE9"/>
    <w:rsid w:val="00061FAB"/>
    <w:rsid w:val="00065638"/>
    <w:rsid w:val="00085A09"/>
    <w:rsid w:val="000A05CB"/>
    <w:rsid w:val="000A11DB"/>
    <w:rsid w:val="000A5315"/>
    <w:rsid w:val="000D0760"/>
    <w:rsid w:val="000D1A0A"/>
    <w:rsid w:val="000D28F2"/>
    <w:rsid w:val="000F037A"/>
    <w:rsid w:val="00102FCC"/>
    <w:rsid w:val="001214CF"/>
    <w:rsid w:val="00124AF0"/>
    <w:rsid w:val="001264D3"/>
    <w:rsid w:val="00146C2A"/>
    <w:rsid w:val="001479CC"/>
    <w:rsid w:val="001A0A90"/>
    <w:rsid w:val="001A573B"/>
    <w:rsid w:val="001B6390"/>
    <w:rsid w:val="001F6BBC"/>
    <w:rsid w:val="0025379C"/>
    <w:rsid w:val="00256B38"/>
    <w:rsid w:val="00263710"/>
    <w:rsid w:val="00263DC9"/>
    <w:rsid w:val="00266828"/>
    <w:rsid w:val="0027643B"/>
    <w:rsid w:val="002878DB"/>
    <w:rsid w:val="002C29D1"/>
    <w:rsid w:val="002C4017"/>
    <w:rsid w:val="002C7477"/>
    <w:rsid w:val="002D3ED2"/>
    <w:rsid w:val="002D4DCE"/>
    <w:rsid w:val="002E2BD0"/>
    <w:rsid w:val="00336C35"/>
    <w:rsid w:val="00356320"/>
    <w:rsid w:val="00380D17"/>
    <w:rsid w:val="00385B77"/>
    <w:rsid w:val="003B33AA"/>
    <w:rsid w:val="003B6BAE"/>
    <w:rsid w:val="003C0EF8"/>
    <w:rsid w:val="003E3E54"/>
    <w:rsid w:val="003E7881"/>
    <w:rsid w:val="004103D0"/>
    <w:rsid w:val="0044406B"/>
    <w:rsid w:val="004745D1"/>
    <w:rsid w:val="004813D3"/>
    <w:rsid w:val="00492512"/>
    <w:rsid w:val="004F4B88"/>
    <w:rsid w:val="004F5CAF"/>
    <w:rsid w:val="00524880"/>
    <w:rsid w:val="00536E50"/>
    <w:rsid w:val="0055164E"/>
    <w:rsid w:val="00565A80"/>
    <w:rsid w:val="00583082"/>
    <w:rsid w:val="0059115A"/>
    <w:rsid w:val="00592B81"/>
    <w:rsid w:val="005939C2"/>
    <w:rsid w:val="005B0894"/>
    <w:rsid w:val="00604934"/>
    <w:rsid w:val="00614095"/>
    <w:rsid w:val="00627D83"/>
    <w:rsid w:val="006330F1"/>
    <w:rsid w:val="00634134"/>
    <w:rsid w:val="00676CBA"/>
    <w:rsid w:val="006A0A9C"/>
    <w:rsid w:val="006D05CF"/>
    <w:rsid w:val="006D6B3F"/>
    <w:rsid w:val="006F3F63"/>
    <w:rsid w:val="00707166"/>
    <w:rsid w:val="00730B93"/>
    <w:rsid w:val="00776ED4"/>
    <w:rsid w:val="00776F66"/>
    <w:rsid w:val="007A17FA"/>
    <w:rsid w:val="007A5CF2"/>
    <w:rsid w:val="007E07E1"/>
    <w:rsid w:val="007E6E8E"/>
    <w:rsid w:val="008424D5"/>
    <w:rsid w:val="00863B6F"/>
    <w:rsid w:val="008716F4"/>
    <w:rsid w:val="00871DB1"/>
    <w:rsid w:val="00896514"/>
    <w:rsid w:val="00897C3E"/>
    <w:rsid w:val="008B23B5"/>
    <w:rsid w:val="008B6B4F"/>
    <w:rsid w:val="008C70E2"/>
    <w:rsid w:val="008D46BA"/>
    <w:rsid w:val="008E03FF"/>
    <w:rsid w:val="008E4DEB"/>
    <w:rsid w:val="008F255C"/>
    <w:rsid w:val="00907B29"/>
    <w:rsid w:val="009356ED"/>
    <w:rsid w:val="00955FC9"/>
    <w:rsid w:val="00957E1E"/>
    <w:rsid w:val="009836AD"/>
    <w:rsid w:val="00986D03"/>
    <w:rsid w:val="00993432"/>
    <w:rsid w:val="009A070D"/>
    <w:rsid w:val="009D57CE"/>
    <w:rsid w:val="00A05AE6"/>
    <w:rsid w:val="00A072B1"/>
    <w:rsid w:val="00A22810"/>
    <w:rsid w:val="00A24897"/>
    <w:rsid w:val="00A4185A"/>
    <w:rsid w:val="00A43803"/>
    <w:rsid w:val="00A643B5"/>
    <w:rsid w:val="00A710A6"/>
    <w:rsid w:val="00A71A96"/>
    <w:rsid w:val="00A75665"/>
    <w:rsid w:val="00A76126"/>
    <w:rsid w:val="00A8349E"/>
    <w:rsid w:val="00AA1F80"/>
    <w:rsid w:val="00AA60F7"/>
    <w:rsid w:val="00AB624C"/>
    <w:rsid w:val="00AD0213"/>
    <w:rsid w:val="00AD6925"/>
    <w:rsid w:val="00AF03A1"/>
    <w:rsid w:val="00AF1975"/>
    <w:rsid w:val="00B04B80"/>
    <w:rsid w:val="00B220A7"/>
    <w:rsid w:val="00B2230D"/>
    <w:rsid w:val="00B52EBF"/>
    <w:rsid w:val="00B542BD"/>
    <w:rsid w:val="00B657CA"/>
    <w:rsid w:val="00B70A9F"/>
    <w:rsid w:val="00B71AD8"/>
    <w:rsid w:val="00B92A37"/>
    <w:rsid w:val="00BC70AC"/>
    <w:rsid w:val="00BE389B"/>
    <w:rsid w:val="00BF10B0"/>
    <w:rsid w:val="00C06F8E"/>
    <w:rsid w:val="00C265C7"/>
    <w:rsid w:val="00C3729A"/>
    <w:rsid w:val="00C50DE9"/>
    <w:rsid w:val="00C6334D"/>
    <w:rsid w:val="00C732CF"/>
    <w:rsid w:val="00C73915"/>
    <w:rsid w:val="00C90C06"/>
    <w:rsid w:val="00CC613C"/>
    <w:rsid w:val="00D1522A"/>
    <w:rsid w:val="00D25F32"/>
    <w:rsid w:val="00D5350F"/>
    <w:rsid w:val="00D53D44"/>
    <w:rsid w:val="00D8713F"/>
    <w:rsid w:val="00DB57F9"/>
    <w:rsid w:val="00DD00BB"/>
    <w:rsid w:val="00DE0AAD"/>
    <w:rsid w:val="00E5711F"/>
    <w:rsid w:val="00E60497"/>
    <w:rsid w:val="00E765A5"/>
    <w:rsid w:val="00E83F43"/>
    <w:rsid w:val="00E85971"/>
    <w:rsid w:val="00E865B7"/>
    <w:rsid w:val="00EC677E"/>
    <w:rsid w:val="00ED7E9A"/>
    <w:rsid w:val="00EF3901"/>
    <w:rsid w:val="00F01CBF"/>
    <w:rsid w:val="00F12AE6"/>
    <w:rsid w:val="00F33568"/>
    <w:rsid w:val="00F367DE"/>
    <w:rsid w:val="00F41AF5"/>
    <w:rsid w:val="00F51E3F"/>
    <w:rsid w:val="00F7567F"/>
    <w:rsid w:val="00F86DBF"/>
    <w:rsid w:val="00FB1C75"/>
    <w:rsid w:val="00FB51C1"/>
    <w:rsid w:val="00FC2DDD"/>
    <w:rsid w:val="00FC37F7"/>
    <w:rsid w:val="00FC50D7"/>
    <w:rsid w:val="010936BC"/>
    <w:rsid w:val="05350998"/>
    <w:rsid w:val="085A199B"/>
    <w:rsid w:val="089D0CB1"/>
    <w:rsid w:val="0BB82673"/>
    <w:rsid w:val="12CE31C0"/>
    <w:rsid w:val="25481432"/>
    <w:rsid w:val="28731F69"/>
    <w:rsid w:val="2F5D36F8"/>
    <w:rsid w:val="3E6100FA"/>
    <w:rsid w:val="455A79DF"/>
    <w:rsid w:val="463351B6"/>
    <w:rsid w:val="466A4950"/>
    <w:rsid w:val="537F4A0A"/>
    <w:rsid w:val="5878114F"/>
    <w:rsid w:val="59DB5F55"/>
    <w:rsid w:val="6351464A"/>
    <w:rsid w:val="65B34E16"/>
    <w:rsid w:val="6A6432E1"/>
    <w:rsid w:val="6E8E184A"/>
    <w:rsid w:val="7C8E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批注框文本 字符"/>
    <w:basedOn w:val="8"/>
    <w:link w:val="3"/>
    <w:semiHidden/>
    <w:qFormat/>
    <w:uiPriority w:val="99"/>
    <w:rPr>
      <w:sz w:val="18"/>
      <w:szCs w:val="18"/>
    </w:rPr>
  </w:style>
  <w:style w:type="table" w:customStyle="1" w:styleId="1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6">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18"/>
      <w:szCs w:val="18"/>
      <w:lang w:eastAsia="en-US"/>
    </w:rPr>
  </w:style>
  <w:style w:type="character" w:customStyle="1" w:styleId="17">
    <w:name w:val="正文文本 字符"/>
    <w:basedOn w:val="8"/>
    <w:link w:val="2"/>
    <w:semiHidden/>
    <w:qFormat/>
    <w:uiPriority w:val="0"/>
    <w:rPr>
      <w:rFonts w:ascii="仿宋_GB2312" w:hAnsi="仿宋_GB2312" w:eastAsia="仿宋_GB2312" w:cs="仿宋_GB2312"/>
      <w:snapToGrid w:val="0"/>
      <w:color w:val="000000"/>
      <w:kern w:val="0"/>
      <w:sz w:val="24"/>
      <w:szCs w:val="24"/>
      <w:lang w:eastAsia="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6181</Words>
  <Characters>6243</Characters>
  <Lines>163</Lines>
  <Paragraphs>123</Paragraphs>
  <TotalTime>47</TotalTime>
  <ScaleCrop>false</ScaleCrop>
  <LinksUpToDate>false</LinksUpToDate>
  <CharactersWithSpaces>6493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2024-06-24T09:52:00Z</dcterms:created>
  <dc:creator>zh</dc:creator>
  <cp:lastModifiedBy>谁的等待&amp;恰逢花开</cp:lastModifiedBy>
  <cp:lastPrinted>2025-07-15T01:18:00Z</cp:lastPrinted>
  <dcterms:modified xsi:type="dcterms:W3CDTF">2025-10-09T03:42:53Z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eyJoZGlkIjoiOTk3MzUyOGU3YTRjNzRkMDc4NTMyZmMxOTUzNTU1OWMiLCJ1c2VySWQiOiI5Njk3NjU3NjgifQ==</vt:lpwstr>
  </property>
  <property fmtid="{D5CDD505-2E9C-101B-9397-08002B2CF9AE}" pid="3" name="KSOProductBuildVer">
    <vt:lpwstr>2052-12.1.0.22529</vt:lpwstr>
  </property>
  <property fmtid="{D5CDD505-2E9C-101B-9397-08002B2CF9AE}" pid="4" name="ICV">
    <vt:lpwstr>68640A19B2AF42D7B94617A7B1682E4A_13</vt:lpwstr>
  </property>
</Properties>
</file>